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C0" w:rsidRPr="00BB2C91" w:rsidRDefault="003512C0" w:rsidP="00BB2C91">
      <w:pPr>
        <w:widowControl/>
        <w:shd w:val="clear" w:color="auto" w:fill="FFFFFF"/>
        <w:jc w:val="center"/>
        <w:rPr>
          <w:rFonts w:ascii="华文中宋" w:eastAsia="华文中宋" w:hAnsi="华文中宋"/>
          <w:b/>
          <w:color w:val="000000" w:themeColor="text1"/>
          <w:sz w:val="44"/>
          <w:szCs w:val="44"/>
        </w:rPr>
      </w:pPr>
      <w:bookmarkStart w:id="0" w:name="_GoBack"/>
      <w:bookmarkEnd w:id="0"/>
      <w:r w:rsidRPr="00BB2C91">
        <w:rPr>
          <w:rFonts w:ascii="华文中宋" w:eastAsia="华文中宋" w:hAnsi="华文中宋" w:hint="eastAsia"/>
          <w:b/>
          <w:color w:val="000000" w:themeColor="text1"/>
          <w:sz w:val="44"/>
          <w:szCs w:val="44"/>
        </w:rPr>
        <w:t>关于举办北京证券交易所制度（征求意见稿）解读专项培训的通知</w:t>
      </w:r>
    </w:p>
    <w:p w:rsidR="00BB2C91" w:rsidRPr="00BB2C91" w:rsidRDefault="00BB2C91" w:rsidP="0087034D">
      <w:pPr>
        <w:widowControl/>
        <w:shd w:val="clear" w:color="auto" w:fill="FFFFFF"/>
        <w:rPr>
          <w:rFonts w:ascii="仿宋_GB2312" w:eastAsia="仿宋_GB2312" w:hAnsi="Microsoft YaHei UI" w:cs="宋体" w:hint="eastAsia"/>
          <w:color w:val="000000" w:themeColor="text1"/>
          <w:spacing w:val="8"/>
          <w:kern w:val="0"/>
          <w:sz w:val="32"/>
          <w:szCs w:val="32"/>
        </w:rPr>
      </w:pPr>
    </w:p>
    <w:p w:rsidR="0087034D" w:rsidRPr="00BB2C91" w:rsidRDefault="0087034D" w:rsidP="0087034D">
      <w:pPr>
        <w:widowControl/>
        <w:shd w:val="clear" w:color="auto" w:fill="FFFFFF"/>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各市场主体：</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为贯彻落实习近平总书记作出的“继续支持中小企业创新发展，深化新三板改革，设立北京证券交易所，打造服务创新型中小企业主阵地”重要指示，及时向市场主体介绍北京证券交易所新制度特点，深入了解市场需求，听取市场主体关于本次改革业务规则的意见建议，北京证券交易所拟于9月27日在上海、9月29日在北京举办制度解读专项培训，会议同步开启线上直播。培训具体安排如下：</w:t>
      </w:r>
    </w:p>
    <w:p w:rsidR="0087034D" w:rsidRPr="00BB2C91" w:rsidRDefault="0087034D" w:rsidP="0087034D">
      <w:pPr>
        <w:widowControl/>
        <w:shd w:val="clear" w:color="auto" w:fill="FFFFFF"/>
        <w:spacing w:line="480" w:lineRule="atLeast"/>
        <w:ind w:left="120" w:right="120" w:firstLine="480"/>
        <w:rPr>
          <w:rFonts w:ascii="黑体" w:eastAsia="黑体" w:hAnsi="黑体" w:cs="宋体" w:hint="eastAsia"/>
          <w:color w:val="000000" w:themeColor="text1"/>
          <w:spacing w:val="8"/>
          <w:kern w:val="0"/>
          <w:sz w:val="32"/>
          <w:szCs w:val="32"/>
        </w:rPr>
      </w:pPr>
      <w:r w:rsidRPr="00BB2C91">
        <w:rPr>
          <w:rFonts w:ascii="黑体" w:eastAsia="黑体" w:hAnsi="黑体" w:cs="宋体" w:hint="eastAsia"/>
          <w:bCs/>
          <w:color w:val="000000" w:themeColor="text1"/>
          <w:spacing w:val="8"/>
          <w:kern w:val="0"/>
          <w:sz w:val="32"/>
          <w:szCs w:val="32"/>
        </w:rPr>
        <w:t>一、参会人员</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挂牌公司董事长、总经理、董事会秘书或信息披露负责人；证券公司保荐代表人或相关业务人员；其他感兴趣的市场主体。</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疫情防控特殊时期，为降低人员聚集风险，现场培训规模不超200人，每家公司限报1位人员，其余人员可报名参加线上直播培训。参会人员可按类别自行选择场次报名，请勿重复报名。</w:t>
      </w:r>
    </w:p>
    <w:p w:rsidR="0087034D" w:rsidRPr="00BB2C91" w:rsidRDefault="0087034D" w:rsidP="00BB2C91">
      <w:pPr>
        <w:widowControl/>
        <w:shd w:val="clear" w:color="auto" w:fill="FFFFFF"/>
        <w:spacing w:line="480" w:lineRule="atLeast"/>
        <w:ind w:left="120" w:right="120" w:firstLine="480"/>
        <w:rPr>
          <w:rFonts w:ascii="黑体" w:eastAsia="黑体" w:hAnsi="黑体" w:cs="宋体" w:hint="eastAsia"/>
          <w:bCs/>
          <w:color w:val="000000" w:themeColor="text1"/>
          <w:spacing w:val="8"/>
          <w:kern w:val="0"/>
          <w:sz w:val="32"/>
          <w:szCs w:val="32"/>
        </w:rPr>
      </w:pPr>
      <w:r w:rsidRPr="00BB2C91">
        <w:rPr>
          <w:rFonts w:ascii="黑体" w:eastAsia="黑体" w:hAnsi="黑体" w:cs="宋体" w:hint="eastAsia"/>
          <w:bCs/>
          <w:color w:val="000000" w:themeColor="text1"/>
          <w:spacing w:val="8"/>
          <w:kern w:val="0"/>
          <w:sz w:val="32"/>
          <w:szCs w:val="32"/>
        </w:rPr>
        <w:lastRenderedPageBreak/>
        <w:t>二、培训安排</w:t>
      </w:r>
    </w:p>
    <w:tbl>
      <w:tblPr>
        <w:tblW w:w="8214" w:type="dxa"/>
        <w:tblCellMar>
          <w:left w:w="0" w:type="dxa"/>
          <w:right w:w="0" w:type="dxa"/>
        </w:tblCellMar>
        <w:tblLook w:val="04A0"/>
      </w:tblPr>
      <w:tblGrid>
        <w:gridCol w:w="3140"/>
        <w:gridCol w:w="5074"/>
      </w:tblGrid>
      <w:tr w:rsidR="0087034D" w:rsidRPr="00BB2C91" w:rsidTr="003512C0">
        <w:trPr>
          <w:trHeight w:val="190"/>
        </w:trPr>
        <w:tc>
          <w:tcPr>
            <w:tcW w:w="3140" w:type="dxa"/>
            <w:tcBorders>
              <w:top w:val="single" w:sz="6" w:space="0" w:color="auto"/>
              <w:left w:val="single" w:sz="6" w:space="0" w:color="auto"/>
              <w:bottom w:val="single" w:sz="6" w:space="0" w:color="auto"/>
              <w:right w:val="single" w:sz="6" w:space="0" w:color="auto"/>
            </w:tcBorders>
            <w:shd w:val="clear" w:color="auto" w:fill="4472C4"/>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b/>
                <w:bCs/>
                <w:color w:val="000000" w:themeColor="text1"/>
                <w:kern w:val="0"/>
                <w:sz w:val="32"/>
                <w:szCs w:val="32"/>
              </w:rPr>
              <w:t>时间</w:t>
            </w:r>
          </w:p>
        </w:tc>
        <w:tc>
          <w:tcPr>
            <w:tcW w:w="5074" w:type="dxa"/>
            <w:tcBorders>
              <w:top w:val="single" w:sz="6" w:space="0" w:color="auto"/>
              <w:left w:val="nil"/>
              <w:bottom w:val="single" w:sz="6" w:space="0" w:color="auto"/>
              <w:right w:val="single" w:sz="6" w:space="0" w:color="auto"/>
            </w:tcBorders>
            <w:shd w:val="clear" w:color="auto" w:fill="4472C4"/>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b/>
                <w:bCs/>
                <w:color w:val="000000" w:themeColor="text1"/>
                <w:kern w:val="0"/>
                <w:sz w:val="32"/>
                <w:szCs w:val="32"/>
              </w:rPr>
              <w:t>培训内容</w:t>
            </w:r>
          </w:p>
        </w:tc>
      </w:tr>
      <w:tr w:rsidR="0087034D" w:rsidRPr="00BB2C91" w:rsidTr="003512C0">
        <w:trPr>
          <w:trHeight w:val="190"/>
        </w:trPr>
        <w:tc>
          <w:tcPr>
            <w:tcW w:w="3140" w:type="dxa"/>
            <w:tcBorders>
              <w:top w:val="nil"/>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9:00-9:20</w:t>
            </w:r>
          </w:p>
        </w:tc>
        <w:tc>
          <w:tcPr>
            <w:tcW w:w="5074"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北京证券交易所规则体系概要</w:t>
            </w:r>
          </w:p>
        </w:tc>
      </w:tr>
      <w:tr w:rsidR="0087034D" w:rsidRPr="00BB2C91" w:rsidTr="003512C0">
        <w:trPr>
          <w:trHeight w:val="190"/>
        </w:trPr>
        <w:tc>
          <w:tcPr>
            <w:tcW w:w="3140" w:type="dxa"/>
            <w:tcBorders>
              <w:top w:val="nil"/>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9:20-11:20</w:t>
            </w:r>
          </w:p>
        </w:tc>
        <w:tc>
          <w:tcPr>
            <w:tcW w:w="5074"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上市规则重点解析</w:t>
            </w:r>
          </w:p>
        </w:tc>
      </w:tr>
      <w:tr w:rsidR="0087034D" w:rsidRPr="00BB2C91" w:rsidTr="003512C0">
        <w:trPr>
          <w:trHeight w:val="190"/>
        </w:trPr>
        <w:tc>
          <w:tcPr>
            <w:tcW w:w="3140" w:type="dxa"/>
            <w:tcBorders>
              <w:top w:val="nil"/>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11:20-12:00</w:t>
            </w:r>
          </w:p>
        </w:tc>
        <w:tc>
          <w:tcPr>
            <w:tcW w:w="5074"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听取意见建议</w:t>
            </w:r>
          </w:p>
        </w:tc>
      </w:tr>
      <w:tr w:rsidR="0087034D" w:rsidRPr="00BB2C91" w:rsidTr="003512C0">
        <w:trPr>
          <w:trHeight w:val="190"/>
        </w:trPr>
        <w:tc>
          <w:tcPr>
            <w:tcW w:w="3140" w:type="dxa"/>
            <w:tcBorders>
              <w:top w:val="nil"/>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14:00-15:00</w:t>
            </w:r>
          </w:p>
        </w:tc>
        <w:tc>
          <w:tcPr>
            <w:tcW w:w="5074"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公开发行并上市、再融资、重大资产重组规则解读</w:t>
            </w:r>
          </w:p>
        </w:tc>
      </w:tr>
      <w:tr w:rsidR="0087034D" w:rsidRPr="00BB2C91" w:rsidTr="003512C0">
        <w:trPr>
          <w:trHeight w:val="190"/>
        </w:trPr>
        <w:tc>
          <w:tcPr>
            <w:tcW w:w="3140" w:type="dxa"/>
            <w:tcBorders>
              <w:top w:val="nil"/>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15:00-15:40</w:t>
            </w:r>
          </w:p>
        </w:tc>
        <w:tc>
          <w:tcPr>
            <w:tcW w:w="5074"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交易规则解读</w:t>
            </w:r>
          </w:p>
        </w:tc>
      </w:tr>
      <w:tr w:rsidR="0087034D" w:rsidRPr="00BB2C91" w:rsidTr="003512C0">
        <w:trPr>
          <w:trHeight w:val="190"/>
        </w:trPr>
        <w:tc>
          <w:tcPr>
            <w:tcW w:w="3140" w:type="dxa"/>
            <w:tcBorders>
              <w:top w:val="nil"/>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15:40-16:20</w:t>
            </w:r>
          </w:p>
        </w:tc>
        <w:tc>
          <w:tcPr>
            <w:tcW w:w="5074"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会员管理规则解读</w:t>
            </w:r>
          </w:p>
        </w:tc>
      </w:tr>
      <w:tr w:rsidR="0087034D" w:rsidRPr="00BB2C91" w:rsidTr="003512C0">
        <w:trPr>
          <w:trHeight w:val="190"/>
        </w:trPr>
        <w:tc>
          <w:tcPr>
            <w:tcW w:w="3140" w:type="dxa"/>
            <w:tcBorders>
              <w:top w:val="nil"/>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16:20-17:00</w:t>
            </w:r>
          </w:p>
        </w:tc>
        <w:tc>
          <w:tcPr>
            <w:tcW w:w="5074"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7034D" w:rsidRPr="00BB2C91" w:rsidRDefault="0087034D" w:rsidP="003E6FFC">
            <w:pPr>
              <w:widowControl/>
              <w:wordWrap w:val="0"/>
              <w:spacing w:line="405" w:lineRule="atLeast"/>
              <w:jc w:val="center"/>
              <w:rPr>
                <w:rFonts w:ascii="仿宋_GB2312" w:eastAsia="仿宋_GB2312" w:hAnsi="宋体" w:cs="宋体" w:hint="eastAsia"/>
                <w:color w:val="000000" w:themeColor="text1"/>
                <w:kern w:val="0"/>
                <w:sz w:val="32"/>
                <w:szCs w:val="32"/>
              </w:rPr>
            </w:pPr>
            <w:r w:rsidRPr="00BB2C91">
              <w:rPr>
                <w:rFonts w:ascii="仿宋_GB2312" w:eastAsia="仿宋_GB2312" w:hAnsi="微软雅黑" w:cs="宋体" w:hint="eastAsia"/>
                <w:color w:val="000000" w:themeColor="text1"/>
                <w:kern w:val="0"/>
                <w:sz w:val="32"/>
                <w:szCs w:val="32"/>
              </w:rPr>
              <w:t>听取意见建议</w:t>
            </w:r>
          </w:p>
        </w:tc>
      </w:tr>
    </w:tbl>
    <w:p w:rsidR="0087034D" w:rsidRPr="00BB2C91" w:rsidRDefault="0087034D" w:rsidP="0087034D">
      <w:pPr>
        <w:widowControl/>
        <w:shd w:val="clear" w:color="auto" w:fill="FFFFFF"/>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注：最终培训内容以最新制度及实际课程安排为准</w:t>
      </w:r>
    </w:p>
    <w:p w:rsidR="0087034D" w:rsidRPr="00BB2C91" w:rsidRDefault="0087034D" w:rsidP="0087034D">
      <w:pPr>
        <w:widowControl/>
        <w:shd w:val="clear" w:color="auto" w:fill="FFFFFF"/>
        <w:spacing w:line="480" w:lineRule="atLeast"/>
        <w:ind w:left="120" w:right="120" w:firstLine="480"/>
        <w:rPr>
          <w:rFonts w:ascii="黑体" w:eastAsia="黑体" w:hAnsi="黑体" w:cs="宋体" w:hint="eastAsia"/>
          <w:bCs/>
          <w:color w:val="000000" w:themeColor="text1"/>
          <w:spacing w:val="8"/>
          <w:kern w:val="0"/>
          <w:sz w:val="32"/>
          <w:szCs w:val="32"/>
        </w:rPr>
      </w:pPr>
      <w:r w:rsidRPr="00BB2C91">
        <w:rPr>
          <w:rFonts w:ascii="黑体" w:eastAsia="黑体" w:hAnsi="黑体" w:cs="宋体" w:hint="eastAsia"/>
          <w:bCs/>
          <w:color w:val="000000" w:themeColor="text1"/>
          <w:spacing w:val="8"/>
          <w:kern w:val="0"/>
          <w:sz w:val="32"/>
          <w:szCs w:val="32"/>
        </w:rPr>
        <w:t>三、报名方式及截止时间</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（一）挂牌公司及申请挂牌公司报名方式</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请挂牌公司及申请挂牌公司登录“培训考试平台”（edu.neeq.com.cn），在“培训报名”栏目下点击相应场次 “北京证券交易所制度解读专项培训（挂牌公司及申请挂牌公司入口）”的链接进行报名，先到先得，额满为止。</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挂牌公司“信息服务账户”为“NQ+证券代码”（例：NQ830000），申请挂牌公司“信息服务账户”为“NQ+受理编码”（例：NQGP2019000001）。如忘记登录密码，</w:t>
      </w:r>
      <w:r w:rsidRPr="00BB2C91">
        <w:rPr>
          <w:rFonts w:ascii="仿宋_GB2312" w:eastAsia="仿宋_GB2312" w:hAnsi="Microsoft YaHei UI" w:cs="宋体" w:hint="eastAsia"/>
          <w:color w:val="000000" w:themeColor="text1"/>
          <w:spacing w:val="8"/>
          <w:kern w:val="0"/>
          <w:sz w:val="32"/>
          <w:szCs w:val="32"/>
        </w:rPr>
        <w:lastRenderedPageBreak/>
        <w:t>可在登录页面使用“找回密码”功能找回。如未收到、忘记“信息服务账户”或预留邮箱，可发送情况说明至peixun@neeq.com.cn，内容应包括公司名称、证券代码或受理编码、联系人姓名及联系方式等。</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（二）证券公司及其他市场主体报名方式</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请证券公司及其他有意参加本类培训的市场主体进入“培训考试平台”（edu.neeq.com.cn），在“培训报名”栏目下点击相应场次“北京证券交易所制度解读专项培训（证券公司及其他市场主体入口）”进行报名。</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通过上述端口报名的证券公司及其他市场主体无需使用账号密码登录网站，可直接以游客身份进行报名，单次限报一人。</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（三）报名截止时间</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报名截止时间为9月24日17:00。</w:t>
      </w:r>
    </w:p>
    <w:p w:rsidR="0087034D" w:rsidRPr="00BB2C91" w:rsidRDefault="0087034D" w:rsidP="0087034D">
      <w:pPr>
        <w:widowControl/>
        <w:shd w:val="clear" w:color="auto" w:fill="FFFFFF"/>
        <w:spacing w:line="480" w:lineRule="atLeast"/>
        <w:ind w:left="120" w:right="120" w:firstLine="480"/>
        <w:rPr>
          <w:rFonts w:ascii="黑体" w:eastAsia="黑体" w:hAnsi="黑体" w:cs="宋体" w:hint="eastAsia"/>
          <w:bCs/>
          <w:color w:val="000000" w:themeColor="text1"/>
          <w:spacing w:val="8"/>
          <w:kern w:val="0"/>
          <w:sz w:val="32"/>
          <w:szCs w:val="32"/>
        </w:rPr>
      </w:pPr>
      <w:r w:rsidRPr="00BB2C91">
        <w:rPr>
          <w:rFonts w:ascii="黑体" w:eastAsia="黑体" w:hAnsi="黑体" w:cs="宋体" w:hint="eastAsia"/>
          <w:bCs/>
          <w:color w:val="000000" w:themeColor="text1"/>
          <w:spacing w:val="8"/>
          <w:kern w:val="0"/>
          <w:sz w:val="32"/>
          <w:szCs w:val="32"/>
        </w:rPr>
        <w:t>四、温馨提示</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1. 疫情防控特殊时期，参与线下培训人员应配合体温测量并出示“绿色”健康码，培训期间全程佩戴口罩，若体温超过37.3度，请及时就医；</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2. 报名线上培训的人员，直播链接将于会议前通过手机短信和邮件发送给报名人员，报名时请填写有效联</w:t>
      </w:r>
      <w:r w:rsidRPr="00BB2C91">
        <w:rPr>
          <w:rFonts w:ascii="仿宋_GB2312" w:eastAsia="仿宋_GB2312" w:hAnsi="Microsoft YaHei UI" w:cs="宋体" w:hint="eastAsia"/>
          <w:color w:val="000000" w:themeColor="text1"/>
          <w:spacing w:val="8"/>
          <w:kern w:val="0"/>
          <w:sz w:val="32"/>
          <w:szCs w:val="32"/>
        </w:rPr>
        <w:lastRenderedPageBreak/>
        <w:t>系方式及邮箱，部分手机会拦截通知短信，请通过邮箱或在拦截短信中查看直播链接；</w:t>
      </w:r>
    </w:p>
    <w:p w:rsidR="0087034D" w:rsidRPr="00BB2C91" w:rsidRDefault="0087034D" w:rsidP="0087034D">
      <w:pPr>
        <w:widowControl/>
        <w:shd w:val="clear" w:color="auto" w:fill="FFFFFF"/>
        <w:spacing w:before="150" w:line="480" w:lineRule="atLeast"/>
        <w:ind w:left="120" w:right="120" w:firstLine="480"/>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3. 本次会议不收取会议费，参会人员食宿及交通费用自理；</w:t>
      </w:r>
    </w:p>
    <w:p w:rsidR="00D2442A" w:rsidRPr="00BB2C91" w:rsidRDefault="0087034D" w:rsidP="00BB2C91">
      <w:pPr>
        <w:ind w:firstLineChars="200" w:firstLine="672"/>
        <w:jc w:val="left"/>
        <w:rPr>
          <w:rFonts w:ascii="仿宋_GB2312" w:eastAsia="仿宋_GB2312" w:hAnsi="Microsoft YaHei UI" w:cs="宋体" w:hint="eastAsia"/>
          <w:color w:val="000000" w:themeColor="text1"/>
          <w:spacing w:val="8"/>
          <w:kern w:val="0"/>
          <w:sz w:val="32"/>
          <w:szCs w:val="32"/>
        </w:rPr>
      </w:pPr>
      <w:r w:rsidRPr="00BB2C91">
        <w:rPr>
          <w:rFonts w:ascii="仿宋_GB2312" w:eastAsia="仿宋_GB2312" w:hAnsi="Microsoft YaHei UI" w:cs="宋体" w:hint="eastAsia"/>
          <w:color w:val="000000" w:themeColor="text1"/>
          <w:spacing w:val="8"/>
          <w:kern w:val="0"/>
          <w:sz w:val="32"/>
          <w:szCs w:val="32"/>
        </w:rPr>
        <w:t>4. 遇有问题可咨询：400-626-3333。</w:t>
      </w:r>
    </w:p>
    <w:p w:rsidR="003512C0" w:rsidRPr="00BB2C91" w:rsidRDefault="003512C0" w:rsidP="003512C0">
      <w:pPr>
        <w:ind w:firstLineChars="200" w:firstLine="480"/>
        <w:jc w:val="left"/>
        <w:rPr>
          <w:color w:val="000000" w:themeColor="text1"/>
          <w:sz w:val="24"/>
          <w:szCs w:val="24"/>
        </w:rPr>
      </w:pPr>
    </w:p>
    <w:sectPr w:rsidR="003512C0" w:rsidRPr="00BB2C91" w:rsidSect="00C449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D3A" w:rsidRDefault="00F74D3A" w:rsidP="00BB2C91">
      <w:r>
        <w:separator/>
      </w:r>
    </w:p>
  </w:endnote>
  <w:endnote w:type="continuationSeparator" w:id="1">
    <w:p w:rsidR="00F74D3A" w:rsidRDefault="00F74D3A" w:rsidP="00BB2C9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D3A" w:rsidRDefault="00F74D3A" w:rsidP="00BB2C91">
      <w:r>
        <w:separator/>
      </w:r>
    </w:p>
  </w:footnote>
  <w:footnote w:type="continuationSeparator" w:id="1">
    <w:p w:rsidR="00F74D3A" w:rsidRDefault="00F74D3A" w:rsidP="00BB2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1AC"/>
    <w:rsid w:val="000D7FCC"/>
    <w:rsid w:val="00105A81"/>
    <w:rsid w:val="00132900"/>
    <w:rsid w:val="002C537D"/>
    <w:rsid w:val="003512C0"/>
    <w:rsid w:val="00375134"/>
    <w:rsid w:val="006961AC"/>
    <w:rsid w:val="0087034D"/>
    <w:rsid w:val="00BB2C91"/>
    <w:rsid w:val="00BE1AAC"/>
    <w:rsid w:val="00C449DE"/>
    <w:rsid w:val="00D2442A"/>
    <w:rsid w:val="00DC68B4"/>
    <w:rsid w:val="00F74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9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290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512C0"/>
    <w:rPr>
      <w:color w:val="0563C1" w:themeColor="hyperlink"/>
      <w:u w:val="single"/>
    </w:rPr>
  </w:style>
  <w:style w:type="character" w:customStyle="1" w:styleId="UnresolvedMention">
    <w:name w:val="Unresolved Mention"/>
    <w:basedOn w:val="a0"/>
    <w:uiPriority w:val="99"/>
    <w:semiHidden/>
    <w:unhideWhenUsed/>
    <w:rsid w:val="003512C0"/>
    <w:rPr>
      <w:color w:val="605E5C"/>
      <w:shd w:val="clear" w:color="auto" w:fill="E1DFDD"/>
    </w:rPr>
  </w:style>
  <w:style w:type="paragraph" w:styleId="a5">
    <w:name w:val="header"/>
    <w:basedOn w:val="a"/>
    <w:link w:val="Char"/>
    <w:uiPriority w:val="99"/>
    <w:semiHidden/>
    <w:unhideWhenUsed/>
    <w:rsid w:val="00BB2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B2C91"/>
    <w:rPr>
      <w:sz w:val="18"/>
      <w:szCs w:val="18"/>
    </w:rPr>
  </w:style>
  <w:style w:type="paragraph" w:styleId="a6">
    <w:name w:val="footer"/>
    <w:basedOn w:val="a"/>
    <w:link w:val="Char0"/>
    <w:uiPriority w:val="99"/>
    <w:semiHidden/>
    <w:unhideWhenUsed/>
    <w:rsid w:val="00BB2C9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B2C91"/>
    <w:rPr>
      <w:sz w:val="18"/>
      <w:szCs w:val="18"/>
    </w:rPr>
  </w:style>
</w:styles>
</file>

<file path=word/webSettings.xml><?xml version="1.0" encoding="utf-8"?>
<w:webSettings xmlns:r="http://schemas.openxmlformats.org/officeDocument/2006/relationships" xmlns:w="http://schemas.openxmlformats.org/wordprocessingml/2006/main">
  <w:divs>
    <w:div w:id="9551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lyd@guantao.com</dc:creator>
  <cp:keywords/>
  <dc:description/>
  <cp:lastModifiedBy>Lenovo</cp:lastModifiedBy>
  <cp:revision>4</cp:revision>
  <dcterms:created xsi:type="dcterms:W3CDTF">2021-09-17T01:30:00Z</dcterms:created>
  <dcterms:modified xsi:type="dcterms:W3CDTF">2021-09-18T07:21:00Z</dcterms:modified>
</cp:coreProperties>
</file>